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DE" w:rsidRPr="009972DE" w:rsidRDefault="009972DE" w:rsidP="009972DE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Директору /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Завідувачу</w:t>
      </w:r>
      <w:proofErr w:type="spellEnd"/>
    </w:p>
    <w:p w:rsidR="009972DE" w:rsidRPr="009972DE" w:rsidRDefault="009972DE" w:rsidP="009972DE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[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назва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навчального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закладу]</w:t>
      </w:r>
    </w:p>
    <w:p w:rsidR="009972DE" w:rsidRPr="009972DE" w:rsidRDefault="009972DE" w:rsidP="009972DE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[</w:t>
      </w:r>
      <w:proofErr w:type="gram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ІБ директора]</w:t>
      </w:r>
    </w:p>
    <w:p w:rsidR="009972DE" w:rsidRPr="009972DE" w:rsidRDefault="009972DE" w:rsidP="009972DE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від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[</w:t>
      </w:r>
      <w:proofErr w:type="gram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ІБ],</w:t>
      </w:r>
    </w:p>
    <w:p w:rsidR="009972DE" w:rsidRPr="009972DE" w:rsidRDefault="009972DE" w:rsidP="009972DE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батька /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матері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[</w:t>
      </w:r>
      <w:proofErr w:type="gram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ІБ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]</w:t>
      </w:r>
    </w:p>
    <w:p w:rsidR="009972DE" w:rsidRPr="009972DE" w:rsidRDefault="009972DE" w:rsidP="009972DE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учня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/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учениці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(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або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вихованця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/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вихованки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) [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клас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/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група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]</w:t>
      </w:r>
    </w:p>
    <w:p w:rsidR="009972DE" w:rsidRPr="009972DE" w:rsidRDefault="009972DE" w:rsidP="009972D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Обґрунтована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відмова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від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проведення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proofErr w:type="gram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проф</w:t>
      </w:r>
      <w:proofErr w:type="gram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ілактичних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щеплень</w:t>
      </w:r>
      <w:proofErr w:type="spellEnd"/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Я, [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Прізвище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ім’я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по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батькові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], </w:t>
      </w: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ВІДМОВЛЯЮСЬ</w:t>
      </w: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 та </w:t>
      </w: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НЕ ДАЮ ДОЗВОЛУ</w:t>
      </w: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 на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проведення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моїй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дитині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[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Прізвище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ім’я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по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батькові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]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щеплень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проти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кору, краснухи, паротиту, коклюшу,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дифтерії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правця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поліомієліту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гемофільної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інфекції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, БЦЖ,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проби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Р.Манту , а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також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введення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інших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вакцин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або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медичних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препаратів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gram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</w:t>
      </w:r>
      <w:proofErr w:type="gram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рамках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програми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імунізації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населення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або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будь-яко</w:t>
      </w:r>
      <w:proofErr w:type="gram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ї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іншої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програми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Моя</w:t>
      </w:r>
      <w:proofErr w:type="gram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відмова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ґрунтується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наступних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факторах:</w:t>
      </w:r>
    </w:p>
    <w:p w:rsidR="009972DE" w:rsidRPr="009972DE" w:rsidRDefault="009972DE" w:rsidP="009972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До складу вакцин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входять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численні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шкідливі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речовини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(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солі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ртуті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солі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алюмінію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формальдегід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клітинні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лінії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людини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тварин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тощо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),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живі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віруси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вплив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яких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здоров’я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при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введенні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у кров не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є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повністю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досл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ідженим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та,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багатьма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науковими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дослідженнями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є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руйнівним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;</w:t>
      </w:r>
    </w:p>
    <w:p w:rsidR="009972DE" w:rsidRPr="009972DE" w:rsidRDefault="009972DE" w:rsidP="009972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До складу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вакцини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КПК та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деяких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інших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входить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абортивний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матер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іал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людини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. Я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вважаю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неприпустимим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введення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цих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речовин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у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кров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людини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;</w:t>
      </w:r>
    </w:p>
    <w:p w:rsidR="009972DE" w:rsidRPr="009972DE" w:rsidRDefault="009972DE" w:rsidP="009972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В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анотації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до вакцин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виробник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наводить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численні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побічні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реакції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(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зокрема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анафілактичний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шок,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порушення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ЦНС та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роботи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мозку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),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які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св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ідчать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про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потенційну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шкоду для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здоров’я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людини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від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введення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цих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препаратів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;</w:t>
      </w:r>
    </w:p>
    <w:p w:rsidR="009972DE" w:rsidRPr="009972DE" w:rsidRDefault="009972DE" w:rsidP="009972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Я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вважаю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неприпустимим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введення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будь-якої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вакцини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без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попереднього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повного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обстеження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стану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здоров’я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 </w:t>
      </w:r>
      <w:proofErr w:type="spellStart"/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р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івня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імунітету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до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відповідних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хвороб,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що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має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проводитись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ґрунті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медичного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закладу;</w:t>
      </w:r>
    </w:p>
    <w:p w:rsidR="009972DE" w:rsidRPr="009972DE" w:rsidRDefault="009972DE" w:rsidP="009972DE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Моє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право </w:t>
      </w:r>
      <w:proofErr w:type="gram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на</w:t>
      </w:r>
      <w:proofErr w:type="gram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відмову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передбачене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законами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міжнародними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конвенціями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: 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Конституція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України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: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ст. 3. </w:t>
      </w: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Людина,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її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життя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здоров’я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, честь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гідність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недоторканність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безпека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визнаються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в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Україні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найвищою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соц</w:t>
      </w:r>
      <w:proofErr w:type="gram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іальною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цінністю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 </w:t>
      </w: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Ст. 29. 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Кожна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людина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має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право на свободу та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особисту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недоторканність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Ст. 32. 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Ніхто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не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може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зазнавати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втручання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в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його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особисте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сімейне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життя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крім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випадків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передбачених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Конституцією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Європейська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хартія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прав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пацієнта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: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4</w:t>
      </w: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. 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Кожна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особа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має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право доступу до </w:t>
      </w:r>
      <w:proofErr w:type="spellStart"/>
      <w:proofErr w:type="gram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вс</w:t>
      </w:r>
      <w:proofErr w:type="gram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ієї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інформації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що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уможливлює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її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або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його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активну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участь у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прийнятті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рішень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щодо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її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або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його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здоров’я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;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ця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інформація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є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необхідною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умовою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для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будь-якої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процедури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або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лікування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включно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участь у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науковому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дослідженні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.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5. 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Кожна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особа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має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право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вільно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вибирати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 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між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proofErr w:type="gram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р</w:t>
      </w:r>
      <w:proofErr w:type="gram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ізними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лікувальними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процедурами та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їх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виконавцями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на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підґрунті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наявності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достатньої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інформації</w:t>
      </w:r>
      <w:proofErr w:type="spellEnd"/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9.  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Кожна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особа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має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право на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уникнення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шкоди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спровокованої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незадовільним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функціонуванням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медичних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служб,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неправильним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лікуванням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та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помилками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та право на доступ до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медичних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послуг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та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лікування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що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відповідає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високим</w:t>
      </w:r>
      <w:proofErr w:type="spell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стандартам </w:t>
      </w:r>
      <w:proofErr w:type="spell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безпеки</w:t>
      </w:r>
      <w:proofErr w:type="spellEnd"/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Конвенція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про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захист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прав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людини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і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основоположних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свобод</w:t>
      </w: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:</w:t>
      </w:r>
    </w:p>
    <w:p w:rsidR="009972DE" w:rsidRPr="009972DE" w:rsidRDefault="009972DE" w:rsidP="009972D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Ст.14(1) 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Здійснення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прав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свобод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гарантується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без </w:t>
      </w:r>
      <w:proofErr w:type="spellStart"/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будь-яко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дискримінації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ознакою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…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переконань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…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або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інших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обставин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Протокол N 12 до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Конвенції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про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захист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прав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людини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і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основоположних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свобод</w:t>
      </w:r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:</w:t>
      </w:r>
    </w:p>
    <w:p w:rsidR="009972DE" w:rsidRPr="009972DE" w:rsidRDefault="009972DE" w:rsidP="009972D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lastRenderedPageBreak/>
        <w:t xml:space="preserve">Ст.1 1.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Здійснення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будь-якого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передбаченого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законом права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забезпечується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без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дискримінації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будь-якою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ознакою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наприклад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ознакою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…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переконань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…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або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іншою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ознакою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2.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Ніхто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не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може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бути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дискримінований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будь-яким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органом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державної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влади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будь-якою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ознакою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наприклад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тими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які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зазначено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в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пункті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1.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К</w:t>
      </w: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онвенція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про права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дитини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:</w:t>
      </w:r>
    </w:p>
    <w:p w:rsidR="009972DE" w:rsidRPr="009972DE" w:rsidRDefault="009972DE" w:rsidP="009972D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Ст.2 </w:t>
      </w:r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1.</w:t>
      </w: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 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Держави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учасники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…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забезпечують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усі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… права… без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яко</w:t>
      </w:r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ї-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небудь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дискримінації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незалежно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від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стану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здоров’я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…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дитини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2.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Держави-учасниці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вживають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вс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необхідних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заходів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для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забезпечення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захисту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дитини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від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усіх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форм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дискримінації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… на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підставі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…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висловлюваних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поглядів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чи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переконань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дитини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батьків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дитини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законних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опікунів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чи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інших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членів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сім’ї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Конвенція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захист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прав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г</w:t>
      </w:r>
      <w:proofErr w:type="gram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ідності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людини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щодо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застосування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біології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медицини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(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Конвенція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про права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людини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та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біомедицину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):</w:t>
      </w:r>
    </w:p>
    <w:p w:rsidR="009972DE" w:rsidRPr="009972DE" w:rsidRDefault="009972DE" w:rsidP="009972D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Ст.1 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Сторони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цієї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Конвенції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захищають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гідність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тотожність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вс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людей та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гарантують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кожній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особі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– без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дискримінації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–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повагу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до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її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недоторканості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інших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прав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основних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свобод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щодо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застосування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біології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медицини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Основи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законодавства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України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про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охорону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здоров’я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:</w:t>
      </w:r>
    </w:p>
    <w:p w:rsidR="009972DE" w:rsidRPr="009972DE" w:rsidRDefault="009972DE" w:rsidP="009972D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Ст.42. 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Ризиковані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методи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діагностики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проф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ілактики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або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лікування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визнаються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допустимими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якщо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вони …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застосовуються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згодою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інформованого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про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їх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можливі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шкідливі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наслідки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пацієнта</w:t>
      </w:r>
      <w:proofErr w:type="spellEnd"/>
    </w:p>
    <w:p w:rsidR="009972DE" w:rsidRPr="009972DE" w:rsidRDefault="009972DE" w:rsidP="009972D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Ст.43. 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Згода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інформованого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пацієнта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необхідна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для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застосування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методів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діагностики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проф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ілактики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лікування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.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Щодо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пацієнта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який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не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досяг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віку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15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років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медичне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втручання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здійснюється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згодою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їх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законних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представникі</w:t>
      </w:r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</w:t>
      </w:r>
      <w:proofErr w:type="spellEnd"/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Про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захист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населення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від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інфекційних</w:t>
      </w:r>
      <w:proofErr w:type="spell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gramStart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хвороб</w:t>
      </w:r>
      <w:proofErr w:type="gramEnd"/>
      <w:r w:rsidRPr="009972DE">
        <w:rPr>
          <w:rFonts w:ascii="inherit" w:eastAsia="Times New Roman" w:hAnsi="inherit" w:cs="Times New Roman"/>
          <w:b/>
          <w:bCs/>
          <w:color w:val="606060"/>
          <w:sz w:val="23"/>
        </w:rPr>
        <w:t>:</w:t>
      </w:r>
    </w:p>
    <w:p w:rsidR="009972DE" w:rsidRPr="009972DE" w:rsidRDefault="009972DE" w:rsidP="009972D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Ст.12.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Повнолітнім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дієздатним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громадянам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проф</w:t>
      </w:r>
      <w:proofErr w:type="gram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ілактичні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щеплення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проводяться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їх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згодою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… Особам,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які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не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досягли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п’ятнадцятирічного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віку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…,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щеплення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проводяться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згодою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їх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батьків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. Особам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віком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від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п’ятнадцяти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до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вісімнадцяти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років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профілактичні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щеплення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проводяться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їх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згодою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 за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згодою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батьків</w:t>
      </w:r>
      <w:proofErr w:type="spellEnd"/>
      <w:r w:rsidRPr="009972DE">
        <w:rPr>
          <w:rFonts w:ascii="inherit" w:eastAsia="Times New Roman" w:hAnsi="inherit" w:cs="Times New Roman"/>
          <w:color w:val="606060"/>
          <w:sz w:val="23"/>
          <w:szCs w:val="23"/>
        </w:rPr>
        <w:t>…</w:t>
      </w:r>
    </w:p>
    <w:p w:rsidR="009972DE" w:rsidRPr="009972DE" w:rsidRDefault="009972DE" w:rsidP="009972DE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gram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огляду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вищезазначене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, повторно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стверджую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НЕМОЖЛИВІСТЬ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введення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будь-яких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медичних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препаратів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зокрема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вакцин,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моїй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дитині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[ПІБ] без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присутності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батьків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надання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нами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вільної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інформованої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згоди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подібне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втручання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У</w:t>
      </w:r>
      <w:proofErr w:type="gram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разі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недотримання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даних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вимог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будемо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вимушені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вжити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заходів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із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залученням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судових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правоохоронних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органів</w:t>
      </w:r>
      <w:proofErr w:type="spellEnd"/>
      <w:r w:rsidRPr="009972DE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9972DE" w:rsidRPr="009972DE" w:rsidRDefault="009972DE" w:rsidP="009972D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Дата </w:t>
      </w:r>
      <w:r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                                                                   </w:t>
      </w:r>
      <w:proofErr w:type="spellStart"/>
      <w:proofErr w:type="gramStart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П</w:t>
      </w:r>
      <w:proofErr w:type="gramEnd"/>
      <w:r w:rsidRPr="009972DE">
        <w:rPr>
          <w:rFonts w:ascii="inherit" w:eastAsia="Times New Roman" w:hAnsi="inherit" w:cs="Times New Roman"/>
          <w:i/>
          <w:iCs/>
          <w:color w:val="606060"/>
          <w:sz w:val="23"/>
        </w:rPr>
        <w:t>ідпис</w:t>
      </w:r>
      <w:proofErr w:type="spellEnd"/>
    </w:p>
    <w:p w:rsidR="00E05468" w:rsidRDefault="00E05468"/>
    <w:sectPr w:rsidR="00E0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F55"/>
    <w:multiLevelType w:val="multilevel"/>
    <w:tmpl w:val="ABE2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32805"/>
    <w:multiLevelType w:val="multilevel"/>
    <w:tmpl w:val="F96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C7A7B"/>
    <w:multiLevelType w:val="multilevel"/>
    <w:tmpl w:val="096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3662A"/>
    <w:multiLevelType w:val="multilevel"/>
    <w:tmpl w:val="456C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67CEE"/>
    <w:multiLevelType w:val="multilevel"/>
    <w:tmpl w:val="FB10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2192D"/>
    <w:multiLevelType w:val="multilevel"/>
    <w:tmpl w:val="F1F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53DF1"/>
    <w:multiLevelType w:val="multilevel"/>
    <w:tmpl w:val="2CF4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2DE"/>
    <w:rsid w:val="009972DE"/>
    <w:rsid w:val="00E0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99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972DE"/>
    <w:rPr>
      <w:b/>
      <w:bCs/>
    </w:rPr>
  </w:style>
  <w:style w:type="paragraph" w:customStyle="1" w:styleId="has-text-align-center">
    <w:name w:val="has-text-align-center"/>
    <w:basedOn w:val="a"/>
    <w:rsid w:val="0099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9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972DE"/>
    <w:rPr>
      <w:i/>
      <w:iCs/>
    </w:rPr>
  </w:style>
  <w:style w:type="paragraph" w:customStyle="1" w:styleId="has-text-align-left">
    <w:name w:val="has-text-align-left"/>
    <w:basedOn w:val="a"/>
    <w:rsid w:val="0099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mebiline</dc:creator>
  <cp:keywords/>
  <dc:description/>
  <cp:lastModifiedBy>mebiline</cp:lastModifiedBy>
  <cp:revision>2</cp:revision>
  <dcterms:created xsi:type="dcterms:W3CDTF">2020-08-04T21:54:00Z</dcterms:created>
  <dcterms:modified xsi:type="dcterms:W3CDTF">2020-08-04T21:55:00Z</dcterms:modified>
</cp:coreProperties>
</file>